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3573" w14:textId="54AC179E" w:rsidR="001E7659" w:rsidRPr="008E7A4A" w:rsidRDefault="003D4B13" w:rsidP="008E7A4A">
      <w:pPr>
        <w:pStyle w:val="Heading5"/>
        <w:rPr>
          <w:noProof w:val="0"/>
        </w:rPr>
      </w:pPr>
      <w:r>
        <w:rPr>
          <w:noProof w:val="0"/>
        </w:rPr>
        <w:t>Ga</w:t>
      </w:r>
      <w:r w:rsidR="00AC2DB4">
        <w:rPr>
          <w:noProof w:val="0"/>
        </w:rPr>
        <w:t>llagher Re Actuarial Internship, Summer 2024</w:t>
      </w:r>
    </w:p>
    <w:p w14:paraId="24856202" w14:textId="1329D32F" w:rsidR="001E7659" w:rsidRDefault="00924203" w:rsidP="008E7A4A">
      <w:pPr>
        <w:pStyle w:val="Subheader"/>
      </w:pPr>
      <w:r>
        <w:t>Gallagher Re</w:t>
      </w:r>
    </w:p>
    <w:p w14:paraId="36358AD9" w14:textId="77777777" w:rsidR="001F7D6D" w:rsidRDefault="001F7D6D" w:rsidP="001F7D6D">
      <w:pPr>
        <w:pStyle w:val="BodyText"/>
      </w:pPr>
      <w:r>
        <w:t>Join us at Gallagher Re, the trailblazers of the reinsurance world, where every day brings new opportunities to shape the future. We empower our clients with cutting-edge analytics and insights, providing them the confidence to make strategic decisions that transform industries. As a team member, you'll be at the forefront of innovation, translating data into impactful solutions and taking the reins of your career like never before.</w:t>
      </w:r>
    </w:p>
    <w:p w14:paraId="79FCFB81" w14:textId="44642DF1" w:rsidR="008E734E" w:rsidRPr="008E2245" w:rsidRDefault="001F7D6D" w:rsidP="001F7D6D">
      <w:pPr>
        <w:pStyle w:val="BodyText"/>
      </w:pPr>
      <w:r>
        <w:t>We believe that every candidate brings something special to the table, including you! So, even if you feel that you’re close but not an exact match, we encourage you to apply.</w:t>
      </w:r>
    </w:p>
    <w:p w14:paraId="0193DAD0" w14:textId="77777777" w:rsidR="00EF1DA2" w:rsidRDefault="00EF1DA2" w:rsidP="00D76E66">
      <w:pPr>
        <w:pStyle w:val="Subtitle"/>
        <w:rPr>
          <w:rFonts w:ascii="Arial Bold" w:eastAsia="Times New Roman" w:hAnsi="Arial Bold" w:cs="Times New Roman"/>
          <w:color w:val="6FACDE" w:themeColor="accent2"/>
          <w:sz w:val="26"/>
          <w:szCs w:val="26"/>
        </w:rPr>
      </w:pPr>
      <w:r w:rsidRPr="00EF1DA2">
        <w:rPr>
          <w:rFonts w:ascii="Arial Bold" w:eastAsia="Times New Roman" w:hAnsi="Arial Bold" w:cs="Times New Roman"/>
          <w:color w:val="6FACDE" w:themeColor="accent2"/>
          <w:sz w:val="26"/>
          <w:szCs w:val="26"/>
        </w:rPr>
        <w:t>About Gallagher:</w:t>
      </w:r>
    </w:p>
    <w:p w14:paraId="3B38A16A" w14:textId="77777777" w:rsidR="00156BC0" w:rsidRDefault="00156BC0" w:rsidP="00156BC0">
      <w:pPr>
        <w:pStyle w:val="BodyText"/>
      </w:pPr>
      <w:r>
        <w:t xml:space="preserve">Gallagher is one of the world's largest insurance brokerage, risk management services and human capital consulting firms. Every day our clients and prospects face massive challenges across a range of issues. Gallagher’s advisors understand an organization and how hard they work to deliver on promises. We act as a global partner to our clients in protecting, </w:t>
      </w:r>
      <w:proofErr w:type="gramStart"/>
      <w:r>
        <w:t>restoring</w:t>
      </w:r>
      <w:proofErr w:type="gramEnd"/>
      <w:r>
        <w:t xml:space="preserve"> and rebuilding their organization to be sure they are poised for growth and success. Our employees are fueled by teamwork, </w:t>
      </w:r>
      <w:proofErr w:type="gramStart"/>
      <w:r>
        <w:t>creativity</w:t>
      </w:r>
      <w:proofErr w:type="gramEnd"/>
      <w:r>
        <w:t xml:space="preserve"> and an entrepreneurial spirit.</w:t>
      </w:r>
    </w:p>
    <w:p w14:paraId="2444AE56" w14:textId="77777777" w:rsidR="00156BC0" w:rsidRDefault="00156BC0" w:rsidP="00156BC0">
      <w:pPr>
        <w:pStyle w:val="BodyText"/>
      </w:pPr>
      <w:r>
        <w:t>On a global scale, we provide a full range of retail and wholesale property and casualty brokerage and alternative risk transfer services, extensive employee benefit consulting, and actuarial services. Gallagher also offers claims and information management, risk control consulting and appraisal services, human resource consulting, and retirement services to clients around the world.</w:t>
      </w:r>
    </w:p>
    <w:p w14:paraId="686B8CFC" w14:textId="424DE72B" w:rsidR="00EF1DA2" w:rsidRDefault="00156BC0" w:rsidP="00156BC0">
      <w:pPr>
        <w:pStyle w:val="BodyText"/>
      </w:pPr>
      <w:r>
        <w:t>Gallagher was the only insurance brokerage company recognized as one of 2021’s World’s Most Ethical Companies by Ethisphere. This is the tenth consecutive year we have been honored to receive this distinction. In addition, we were recently named as one of America’s Best Employers for Diversity 2021 by Forbes.</w:t>
      </w:r>
    </w:p>
    <w:p w14:paraId="010C9EB4" w14:textId="0E7CB3D0" w:rsidR="00EF1DA2" w:rsidRDefault="002B456C" w:rsidP="00EF1DA2">
      <w:pPr>
        <w:pStyle w:val="Subtitle"/>
        <w:rPr>
          <w:rFonts w:ascii="Arial Bold" w:eastAsia="Times New Roman" w:hAnsi="Arial Bold" w:cs="Times New Roman"/>
          <w:color w:val="6FACDE" w:themeColor="accent2"/>
          <w:sz w:val="26"/>
          <w:szCs w:val="26"/>
        </w:rPr>
      </w:pPr>
      <w:r w:rsidRPr="002B456C">
        <w:rPr>
          <w:rFonts w:ascii="Arial Bold" w:eastAsia="Times New Roman" w:hAnsi="Arial Bold" w:cs="Times New Roman"/>
          <w:color w:val="6FACDE" w:themeColor="accent2"/>
          <w:sz w:val="26"/>
          <w:szCs w:val="26"/>
        </w:rPr>
        <w:t>Your Summer at Gallagher</w:t>
      </w:r>
      <w:r>
        <w:rPr>
          <w:rFonts w:ascii="Arial Bold" w:eastAsia="Times New Roman" w:hAnsi="Arial Bold" w:cs="Times New Roman"/>
          <w:color w:val="6FACDE" w:themeColor="accent2"/>
          <w:sz w:val="26"/>
          <w:szCs w:val="26"/>
        </w:rPr>
        <w:t xml:space="preserve"> Re</w:t>
      </w:r>
      <w:r w:rsidRPr="002B456C">
        <w:rPr>
          <w:rFonts w:ascii="Arial Bold" w:eastAsia="Times New Roman" w:hAnsi="Arial Bold" w:cs="Times New Roman"/>
          <w:color w:val="6FACDE" w:themeColor="accent2"/>
          <w:sz w:val="26"/>
          <w:szCs w:val="26"/>
        </w:rPr>
        <w:t>:</w:t>
      </w:r>
    </w:p>
    <w:p w14:paraId="1CE1FFF2" w14:textId="44561654" w:rsidR="001B7B87" w:rsidRDefault="001B7B87" w:rsidP="001B7B87">
      <w:pPr>
        <w:pStyle w:val="BodyText"/>
      </w:pPr>
      <w:r>
        <w:t>We are looking for internally driven individuals excited to explore a</w:t>
      </w:r>
      <w:r w:rsidR="00C230A1">
        <w:t>n</w:t>
      </w:r>
      <w:r>
        <w:t xml:space="preserve"> </w:t>
      </w:r>
      <w:r w:rsidR="008C7EAF">
        <w:t xml:space="preserve">actuarial </w:t>
      </w:r>
      <w:r>
        <w:t xml:space="preserve">career in </w:t>
      </w:r>
      <w:r w:rsidR="006E3A14">
        <w:t>r</w:t>
      </w:r>
      <w:r>
        <w:t>e</w:t>
      </w:r>
      <w:r w:rsidR="006E3A14">
        <w:t>i</w:t>
      </w:r>
      <w:r>
        <w:t>nsurance broking and client relations that is rewarding personally, professionally, and financially. Your internship at Gallagher Re could be the first step on a career path that offers tremendous growth potential.</w:t>
      </w:r>
    </w:p>
    <w:p w14:paraId="0EAB964A" w14:textId="43C7144B" w:rsidR="001B7B87" w:rsidRDefault="001B7B87" w:rsidP="001B7B87">
      <w:pPr>
        <w:pStyle w:val="BodyText"/>
      </w:pPr>
      <w:r>
        <w:t xml:space="preserve">Gallagher is </w:t>
      </w:r>
      <w:r w:rsidR="007237D9">
        <w:t>a</w:t>
      </w:r>
      <w:r>
        <w:t xml:space="preserve"> unique organization defined and made better every single day by our dedicated employees. In addition, our comprehensive "learning by doing" experience provides you with a realistic look at what it means to be a Gallagher </w:t>
      </w:r>
      <w:r w:rsidR="008C7EAF">
        <w:t xml:space="preserve">Re </w:t>
      </w:r>
      <w:r>
        <w:t xml:space="preserve">Actuary through </w:t>
      </w:r>
      <w:r w:rsidR="0002553A">
        <w:t xml:space="preserve">analyses, </w:t>
      </w:r>
      <w:r>
        <w:t>job shadowing, presentations, client project assignments, and more.</w:t>
      </w:r>
    </w:p>
    <w:p w14:paraId="7E358D59" w14:textId="77777777" w:rsidR="00882CC3" w:rsidRDefault="00882CC3">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br w:type="page"/>
      </w:r>
    </w:p>
    <w:p w14:paraId="6D4113EC" w14:textId="63FE0573" w:rsidR="00642C86" w:rsidRPr="00044533" w:rsidRDefault="00044533" w:rsidP="007B60BC">
      <w:pPr>
        <w:pStyle w:val="BlueBullet"/>
        <w:numPr>
          <w:ilvl w:val="0"/>
          <w:numId w:val="0"/>
        </w:numPr>
        <w:ind w:left="360" w:hanging="360"/>
        <w:rPr>
          <w:noProof w:val="0"/>
          <w:sz w:val="26"/>
          <w:szCs w:val="26"/>
        </w:rPr>
      </w:pPr>
      <w:r w:rsidRPr="00044533">
        <w:rPr>
          <w:rFonts w:asciiTheme="minorHAnsi" w:eastAsiaTheme="minorEastAsia" w:hAnsiTheme="minorHAnsi" w:cstheme="minorBidi"/>
          <w:b/>
          <w:noProof w:val="0"/>
          <w:color w:val="auto"/>
          <w:sz w:val="26"/>
          <w:szCs w:val="26"/>
        </w:rPr>
        <w:lastRenderedPageBreak/>
        <w:t xml:space="preserve">Actuarial Internship </w:t>
      </w:r>
      <w:r w:rsidR="00642C86" w:rsidRPr="00044533">
        <w:rPr>
          <w:rFonts w:asciiTheme="minorHAnsi" w:eastAsiaTheme="minorEastAsia" w:hAnsiTheme="minorHAnsi" w:cstheme="minorBidi"/>
          <w:b/>
          <w:noProof w:val="0"/>
          <w:color w:val="auto"/>
          <w:sz w:val="26"/>
          <w:szCs w:val="26"/>
        </w:rPr>
        <w:t>Responsibilities:</w:t>
      </w:r>
    </w:p>
    <w:p w14:paraId="4B34631C" w14:textId="0B33F2C6" w:rsidR="003652C6" w:rsidRDefault="003652C6" w:rsidP="00EF1DA2">
      <w:pPr>
        <w:pStyle w:val="BlueBullet"/>
        <w:rPr>
          <w:noProof w:val="0"/>
        </w:rPr>
      </w:pPr>
      <w:r>
        <w:rPr>
          <w:noProof w:val="0"/>
        </w:rPr>
        <w:t xml:space="preserve">Research </w:t>
      </w:r>
      <w:r w:rsidR="008249AC">
        <w:rPr>
          <w:noProof w:val="0"/>
        </w:rPr>
        <w:t xml:space="preserve">property and auto </w:t>
      </w:r>
      <w:r>
        <w:rPr>
          <w:noProof w:val="0"/>
        </w:rPr>
        <w:t xml:space="preserve">insurance market rates, </w:t>
      </w:r>
      <w:r w:rsidR="00F74439">
        <w:rPr>
          <w:noProof w:val="0"/>
        </w:rPr>
        <w:t xml:space="preserve">trends, </w:t>
      </w:r>
      <w:r w:rsidR="00477CC5">
        <w:rPr>
          <w:noProof w:val="0"/>
        </w:rPr>
        <w:t xml:space="preserve">loss development </w:t>
      </w:r>
      <w:r w:rsidR="008249AC">
        <w:rPr>
          <w:noProof w:val="0"/>
        </w:rPr>
        <w:t xml:space="preserve">and </w:t>
      </w:r>
      <w:r w:rsidR="00477CC5">
        <w:rPr>
          <w:noProof w:val="0"/>
        </w:rPr>
        <w:t xml:space="preserve">other </w:t>
      </w:r>
      <w:r w:rsidR="008249AC">
        <w:rPr>
          <w:noProof w:val="0"/>
        </w:rPr>
        <w:t>actuarial</w:t>
      </w:r>
      <w:r w:rsidR="00264C39">
        <w:rPr>
          <w:noProof w:val="0"/>
        </w:rPr>
        <w:t xml:space="preserve"> assumptions.</w:t>
      </w:r>
    </w:p>
    <w:p w14:paraId="354E02FA" w14:textId="16569DD8" w:rsidR="00EF1DA2" w:rsidRDefault="007B60BC" w:rsidP="00EF1DA2">
      <w:pPr>
        <w:pStyle w:val="BlueBullet"/>
        <w:rPr>
          <w:noProof w:val="0"/>
        </w:rPr>
      </w:pPr>
      <w:r>
        <w:rPr>
          <w:noProof w:val="0"/>
        </w:rPr>
        <w:t xml:space="preserve">Create insurance market </w:t>
      </w:r>
      <w:r w:rsidR="00BC0C91">
        <w:rPr>
          <w:noProof w:val="0"/>
        </w:rPr>
        <w:t>analys</w:t>
      </w:r>
      <w:r w:rsidR="001620D5">
        <w:rPr>
          <w:noProof w:val="0"/>
        </w:rPr>
        <w:t>is</w:t>
      </w:r>
      <w:r w:rsidR="00AD5F19">
        <w:rPr>
          <w:noProof w:val="0"/>
        </w:rPr>
        <w:t xml:space="preserve"> for client benchmarking and actuarial analyses.</w:t>
      </w:r>
    </w:p>
    <w:p w14:paraId="1436BDC0" w14:textId="218A7C55" w:rsidR="001620D5" w:rsidRDefault="001620D5" w:rsidP="00EF1DA2">
      <w:pPr>
        <w:pStyle w:val="BlueBullet"/>
        <w:rPr>
          <w:noProof w:val="0"/>
        </w:rPr>
      </w:pPr>
      <w:r>
        <w:rPr>
          <w:noProof w:val="0"/>
        </w:rPr>
        <w:t>Present research findings and market analysis to brokers and actuaries.</w:t>
      </w:r>
    </w:p>
    <w:p w14:paraId="6B9A1687" w14:textId="71124134" w:rsidR="00DD7F39" w:rsidRDefault="004E6249" w:rsidP="00EF1DA2">
      <w:pPr>
        <w:pStyle w:val="BlueBullet"/>
        <w:rPr>
          <w:noProof w:val="0"/>
        </w:rPr>
      </w:pPr>
      <w:r>
        <w:rPr>
          <w:noProof w:val="0"/>
        </w:rPr>
        <w:t>D</w:t>
      </w:r>
      <w:r w:rsidR="00DD7F39">
        <w:rPr>
          <w:noProof w:val="0"/>
        </w:rPr>
        <w:t xml:space="preserve">ata </w:t>
      </w:r>
      <w:r w:rsidR="00443884">
        <w:rPr>
          <w:noProof w:val="0"/>
        </w:rPr>
        <w:t xml:space="preserve">wrangling, </w:t>
      </w:r>
      <w:r w:rsidR="00314ADC">
        <w:rPr>
          <w:noProof w:val="0"/>
        </w:rPr>
        <w:t>converting client</w:t>
      </w:r>
      <w:r w:rsidR="00C15C3B">
        <w:rPr>
          <w:noProof w:val="0"/>
        </w:rPr>
        <w:t>s’</w:t>
      </w:r>
      <w:r w:rsidR="00314ADC">
        <w:rPr>
          <w:noProof w:val="0"/>
        </w:rPr>
        <w:t xml:space="preserve"> raw data into usable </w:t>
      </w:r>
      <w:r w:rsidR="00443884">
        <w:rPr>
          <w:noProof w:val="0"/>
        </w:rPr>
        <w:t>forms</w:t>
      </w:r>
      <w:r w:rsidR="00C15C3B">
        <w:rPr>
          <w:noProof w:val="0"/>
        </w:rPr>
        <w:t xml:space="preserve"> for reinsurance pricing analyses.</w:t>
      </w:r>
    </w:p>
    <w:p w14:paraId="49096758" w14:textId="3B7E2615" w:rsidR="004E6249" w:rsidRDefault="004E6249" w:rsidP="00EF1DA2">
      <w:pPr>
        <w:pStyle w:val="BlueBullet"/>
        <w:rPr>
          <w:noProof w:val="0"/>
        </w:rPr>
      </w:pPr>
      <w:r>
        <w:rPr>
          <w:noProof w:val="0"/>
        </w:rPr>
        <w:t>Assist with data analysis</w:t>
      </w:r>
      <w:r w:rsidR="00D9238A">
        <w:rPr>
          <w:noProof w:val="0"/>
        </w:rPr>
        <w:t xml:space="preserve"> </w:t>
      </w:r>
      <w:r w:rsidR="00EA5339">
        <w:rPr>
          <w:noProof w:val="0"/>
        </w:rPr>
        <w:t xml:space="preserve">and pricing analysis </w:t>
      </w:r>
      <w:r w:rsidR="00D9238A">
        <w:rPr>
          <w:noProof w:val="0"/>
        </w:rPr>
        <w:t>for clients’ reinsurance placement</w:t>
      </w:r>
      <w:r w:rsidR="00EA5339">
        <w:rPr>
          <w:noProof w:val="0"/>
        </w:rPr>
        <w:t>s.</w:t>
      </w:r>
    </w:p>
    <w:p w14:paraId="1BAC850A" w14:textId="77777777" w:rsidR="005806CB" w:rsidRDefault="0061175A" w:rsidP="00EF1DA2">
      <w:pPr>
        <w:pStyle w:val="BlueBullet"/>
        <w:rPr>
          <w:noProof w:val="0"/>
        </w:rPr>
      </w:pPr>
      <w:r>
        <w:rPr>
          <w:noProof w:val="0"/>
        </w:rPr>
        <w:t xml:space="preserve">Learn insurance and reinsurance basics </w:t>
      </w:r>
      <w:r w:rsidR="00966E9F">
        <w:rPr>
          <w:noProof w:val="0"/>
        </w:rPr>
        <w:t xml:space="preserve">through interactions with actuaries, </w:t>
      </w:r>
      <w:proofErr w:type="gramStart"/>
      <w:r w:rsidR="00966E9F">
        <w:rPr>
          <w:noProof w:val="0"/>
        </w:rPr>
        <w:t>brokers</w:t>
      </w:r>
      <w:proofErr w:type="gramEnd"/>
      <w:r w:rsidR="00966E9F">
        <w:rPr>
          <w:noProof w:val="0"/>
        </w:rPr>
        <w:t xml:space="preserve"> and clients.</w:t>
      </w:r>
      <w:r w:rsidR="00F41E0B">
        <w:rPr>
          <w:noProof w:val="0"/>
        </w:rPr>
        <w:t xml:space="preserve">  </w:t>
      </w:r>
    </w:p>
    <w:p w14:paraId="738FFE51" w14:textId="49A0CA3E" w:rsidR="0061175A" w:rsidRDefault="00261171" w:rsidP="00EF1DA2">
      <w:pPr>
        <w:pStyle w:val="BlueBullet"/>
        <w:rPr>
          <w:noProof w:val="0"/>
        </w:rPr>
      </w:pPr>
      <w:r>
        <w:rPr>
          <w:noProof w:val="0"/>
        </w:rPr>
        <w:t xml:space="preserve">Attend </w:t>
      </w:r>
      <w:r w:rsidR="002C7783">
        <w:rPr>
          <w:noProof w:val="0"/>
        </w:rPr>
        <w:t xml:space="preserve">meetings </w:t>
      </w:r>
      <w:r>
        <w:rPr>
          <w:noProof w:val="0"/>
        </w:rPr>
        <w:t>with</w:t>
      </w:r>
      <w:r w:rsidR="00F41E0B">
        <w:rPr>
          <w:noProof w:val="0"/>
        </w:rPr>
        <w:t xml:space="preserve"> Gallagher Re actuaries</w:t>
      </w:r>
      <w:r w:rsidR="005E22A7">
        <w:rPr>
          <w:noProof w:val="0"/>
        </w:rPr>
        <w:t xml:space="preserve"> and brokers</w:t>
      </w:r>
      <w:r w:rsidR="00472A01">
        <w:rPr>
          <w:noProof w:val="0"/>
        </w:rPr>
        <w:t xml:space="preserve"> </w:t>
      </w:r>
      <w:r w:rsidR="00925084">
        <w:rPr>
          <w:noProof w:val="0"/>
        </w:rPr>
        <w:t>to get</w:t>
      </w:r>
      <w:r w:rsidR="00472A01">
        <w:rPr>
          <w:noProof w:val="0"/>
        </w:rPr>
        <w:t xml:space="preserve"> the big picture and</w:t>
      </w:r>
      <w:r w:rsidR="005806CB">
        <w:rPr>
          <w:noProof w:val="0"/>
        </w:rPr>
        <w:t xml:space="preserve"> to gain a better understanding of </w:t>
      </w:r>
      <w:r w:rsidR="0013110B">
        <w:rPr>
          <w:noProof w:val="0"/>
        </w:rPr>
        <w:t xml:space="preserve">the </w:t>
      </w:r>
      <w:r w:rsidR="00925084">
        <w:rPr>
          <w:noProof w:val="0"/>
        </w:rPr>
        <w:t>(re)</w:t>
      </w:r>
      <w:r w:rsidR="0013110B">
        <w:rPr>
          <w:noProof w:val="0"/>
        </w:rPr>
        <w:t xml:space="preserve">insurance market and </w:t>
      </w:r>
      <w:r w:rsidR="005806CB">
        <w:rPr>
          <w:noProof w:val="0"/>
        </w:rPr>
        <w:t>clients’ needs.</w:t>
      </w:r>
    </w:p>
    <w:p w14:paraId="56F2C23C" w14:textId="77777777" w:rsidR="004E054D" w:rsidRPr="004E054D" w:rsidRDefault="004E054D" w:rsidP="004E054D">
      <w:pPr>
        <w:pStyle w:val="BlueBullet2"/>
        <w:numPr>
          <w:ilvl w:val="0"/>
          <w:numId w:val="27"/>
        </w:numPr>
        <w:spacing w:after="60" w:line="276" w:lineRule="auto"/>
        <w:rPr>
          <w:rFonts w:cs="Times New Roman"/>
          <w:sz w:val="20"/>
        </w:rPr>
      </w:pPr>
      <w:r w:rsidRPr="004E054D">
        <w:rPr>
          <w:rFonts w:cs="Times New Roman"/>
          <w:sz w:val="20"/>
          <w:szCs w:val="24"/>
        </w:rPr>
        <w:t>Attending Intern Orientation and various weekly training events to further develop critical qualities of a successful professional (i.e. communication, emotional intelligence, networking, etc.)</w:t>
      </w:r>
    </w:p>
    <w:p w14:paraId="3A714939" w14:textId="146EF87D" w:rsidR="0042324D" w:rsidRDefault="00BD791F" w:rsidP="0042324D">
      <w:pPr>
        <w:pStyle w:val="Subtitle"/>
        <w:rPr>
          <w:rFonts w:ascii="Arial Bold" w:eastAsia="Times New Roman" w:hAnsi="Arial Bold" w:cs="Times New Roman"/>
          <w:color w:val="6FACDE" w:themeColor="accent2"/>
          <w:sz w:val="26"/>
          <w:szCs w:val="26"/>
        </w:rPr>
      </w:pPr>
      <w:r>
        <w:rPr>
          <w:rFonts w:ascii="Arial Bold" w:eastAsia="Times New Roman" w:hAnsi="Arial Bold" w:cs="Times New Roman"/>
          <w:color w:val="6FACDE" w:themeColor="accent2"/>
          <w:sz w:val="26"/>
          <w:szCs w:val="26"/>
        </w:rPr>
        <w:t>Qualifications</w:t>
      </w:r>
      <w:r w:rsidR="00A04BB2">
        <w:rPr>
          <w:rFonts w:ascii="Arial Bold" w:eastAsia="Times New Roman" w:hAnsi="Arial Bold" w:cs="Times New Roman"/>
          <w:color w:val="6FACDE" w:themeColor="accent2"/>
          <w:sz w:val="26"/>
          <w:szCs w:val="26"/>
        </w:rPr>
        <w:t>/Requirements</w:t>
      </w:r>
      <w:r w:rsidR="0042324D" w:rsidRPr="00EF1DA2">
        <w:rPr>
          <w:rFonts w:ascii="Arial Bold" w:eastAsia="Times New Roman" w:hAnsi="Arial Bold" w:cs="Times New Roman"/>
          <w:color w:val="6FACDE" w:themeColor="accent2"/>
          <w:sz w:val="26"/>
          <w:szCs w:val="26"/>
        </w:rPr>
        <w:t>:</w:t>
      </w:r>
    </w:p>
    <w:p w14:paraId="73EC8909" w14:textId="6B93B9A4" w:rsidR="001E39BB" w:rsidRDefault="001E39BB" w:rsidP="001E39BB">
      <w:pPr>
        <w:pStyle w:val="BlueBullet"/>
        <w:rPr>
          <w:noProof w:val="0"/>
        </w:rPr>
      </w:pPr>
      <w:r>
        <w:rPr>
          <w:noProof w:val="0"/>
        </w:rPr>
        <w:t>Seniors with an expected graduation date between December 2024 and June 2025</w:t>
      </w:r>
    </w:p>
    <w:p w14:paraId="54521029" w14:textId="1D45AE8F" w:rsidR="001E39BB" w:rsidRDefault="001E39BB" w:rsidP="001E39BB">
      <w:pPr>
        <w:pStyle w:val="BlueBullet"/>
        <w:rPr>
          <w:noProof w:val="0"/>
        </w:rPr>
      </w:pPr>
      <w:r>
        <w:rPr>
          <w:noProof w:val="0"/>
        </w:rPr>
        <w:t>Program start and end dates are flexible but should cover most of June and July</w:t>
      </w:r>
    </w:p>
    <w:p w14:paraId="6B42D254" w14:textId="149C0C8A" w:rsidR="001E39BB" w:rsidRDefault="001E39BB" w:rsidP="001E39BB">
      <w:pPr>
        <w:pStyle w:val="BlueBullet"/>
        <w:rPr>
          <w:noProof w:val="0"/>
        </w:rPr>
      </w:pPr>
      <w:r>
        <w:rPr>
          <w:noProof w:val="0"/>
        </w:rPr>
        <w:t xml:space="preserve">Preferred areas of study include, but are not limited to the following: Risk Management and Insurance, Actuarial Science, Mathematics, Economics, </w:t>
      </w:r>
      <w:r w:rsidR="00A04BB2">
        <w:rPr>
          <w:noProof w:val="0"/>
        </w:rPr>
        <w:t xml:space="preserve">Computer Science, </w:t>
      </w:r>
      <w:r>
        <w:rPr>
          <w:noProof w:val="0"/>
        </w:rPr>
        <w:t>Finance, etc.</w:t>
      </w:r>
    </w:p>
    <w:p w14:paraId="07C697A7" w14:textId="6DB7C4A9" w:rsidR="009D3B8C" w:rsidRDefault="009D3B8C" w:rsidP="001E39BB">
      <w:pPr>
        <w:pStyle w:val="BlueBullet"/>
        <w:rPr>
          <w:noProof w:val="0"/>
        </w:rPr>
      </w:pPr>
      <w:r>
        <w:rPr>
          <w:noProof w:val="0"/>
        </w:rPr>
        <w:t>Prefer candidates w</w:t>
      </w:r>
      <w:r w:rsidR="002201FF">
        <w:rPr>
          <w:noProof w:val="0"/>
        </w:rPr>
        <w:t>ith at least one actuarial exam passed.</w:t>
      </w:r>
    </w:p>
    <w:p w14:paraId="71FBB2D6" w14:textId="15465FAC" w:rsidR="00CC306B" w:rsidRDefault="00CC306B" w:rsidP="001E39BB">
      <w:pPr>
        <w:pStyle w:val="BlueBullet"/>
        <w:rPr>
          <w:noProof w:val="0"/>
        </w:rPr>
      </w:pPr>
      <w:r>
        <w:rPr>
          <w:noProof w:val="0"/>
        </w:rPr>
        <w:t>Ability to work hybrid in</w:t>
      </w:r>
      <w:r w:rsidR="00765A0D">
        <w:rPr>
          <w:noProof w:val="0"/>
        </w:rPr>
        <w:t xml:space="preserve"> the Dallas Gallagher Re office 3-4 days per </w:t>
      </w:r>
      <w:proofErr w:type="gramStart"/>
      <w:r w:rsidR="00765A0D">
        <w:rPr>
          <w:noProof w:val="0"/>
        </w:rPr>
        <w:t>week</w:t>
      </w:r>
      <w:proofErr w:type="gramEnd"/>
    </w:p>
    <w:p w14:paraId="7D8BCDC2" w14:textId="77777777" w:rsidR="001E39BB" w:rsidRDefault="001E39BB" w:rsidP="001E39BB">
      <w:pPr>
        <w:pStyle w:val="BlueBullet"/>
        <w:rPr>
          <w:noProof w:val="0"/>
        </w:rPr>
      </w:pPr>
      <w:r>
        <w:rPr>
          <w:noProof w:val="0"/>
        </w:rPr>
        <w:t xml:space="preserve">All candidates are required to submit an application via </w:t>
      </w:r>
      <w:proofErr w:type="gramStart"/>
      <w:r>
        <w:rPr>
          <w:noProof w:val="0"/>
        </w:rPr>
        <w:t>https://jobs.ajg.com/ajg-students/</w:t>
      </w:r>
      <w:proofErr w:type="gramEnd"/>
    </w:p>
    <w:p w14:paraId="77618562" w14:textId="0B6A4A0E" w:rsidR="001E39BB" w:rsidRDefault="001E39BB" w:rsidP="001E39BB">
      <w:pPr>
        <w:pStyle w:val="BlueBullet"/>
        <w:rPr>
          <w:noProof w:val="0"/>
        </w:rPr>
      </w:pPr>
      <w:r>
        <w:rPr>
          <w:noProof w:val="0"/>
        </w:rPr>
        <w:t xml:space="preserve">Unrestricted work authorization to work in the United </w:t>
      </w:r>
      <w:proofErr w:type="gramStart"/>
      <w:r>
        <w:rPr>
          <w:noProof w:val="0"/>
        </w:rPr>
        <w:t>For</w:t>
      </w:r>
      <w:proofErr w:type="gramEnd"/>
      <w:r>
        <w:rPr>
          <w:noProof w:val="0"/>
        </w:rPr>
        <w:t xml:space="preserve"> U.S. employment opportunities, Gallagher hires U.S. citizens, permanent residents, refugees, and temporary residents. Temporary residence does not include those with non-immigrant work authorization (F, J, H or L visas), such as students in practical training status. Exceptions to these requirements will be determined based on shortage of qualified candidates with a particular skill. We will require proof of work authorization</w:t>
      </w:r>
      <w:r w:rsidR="00627392">
        <w:rPr>
          <w:noProof w:val="0"/>
        </w:rPr>
        <w:t>.</w:t>
      </w:r>
    </w:p>
    <w:p w14:paraId="2D757A82" w14:textId="07A7AF77" w:rsidR="0042324D" w:rsidRDefault="001E39BB" w:rsidP="00882CC3">
      <w:pPr>
        <w:pStyle w:val="BlueBullet"/>
        <w:rPr>
          <w:noProof w:val="0"/>
        </w:rPr>
      </w:pPr>
      <w:r>
        <w:rPr>
          <w:noProof w:val="0"/>
        </w:rPr>
        <w:t xml:space="preserve">Willing to execute the Company's Employee Agreement which requires, among other things, post- employment obligations relating to non-solicitation, </w:t>
      </w:r>
      <w:proofErr w:type="gramStart"/>
      <w:r>
        <w:rPr>
          <w:noProof w:val="0"/>
        </w:rPr>
        <w:t>confidentiality</w:t>
      </w:r>
      <w:proofErr w:type="gramEnd"/>
      <w:r>
        <w:rPr>
          <w:noProof w:val="0"/>
        </w:rPr>
        <w:t xml:space="preserve"> and non-disclosure</w:t>
      </w:r>
      <w:r w:rsidR="00627392">
        <w:rPr>
          <w:noProof w:val="0"/>
        </w:rPr>
        <w:t>.</w:t>
      </w:r>
    </w:p>
    <w:p w14:paraId="51CAF0E9" w14:textId="77777777" w:rsidR="008458FC" w:rsidRDefault="008458FC" w:rsidP="008458FC">
      <w:pPr>
        <w:pStyle w:val="BlueBullet"/>
        <w:numPr>
          <w:ilvl w:val="0"/>
          <w:numId w:val="0"/>
        </w:numPr>
        <w:ind w:left="360" w:hanging="360"/>
        <w:rPr>
          <w:noProof w:val="0"/>
        </w:rPr>
      </w:pPr>
    </w:p>
    <w:p w14:paraId="3C87567A" w14:textId="47031A6F" w:rsidR="008458FC" w:rsidRPr="002A3ECF" w:rsidRDefault="008458FC" w:rsidP="008458FC">
      <w:pPr>
        <w:shd w:val="clear" w:color="auto" w:fill="FFFFFF"/>
        <w:rPr>
          <w:rFonts w:ascii="Noto Sans" w:hAnsi="Noto Sans" w:cs="Noto Sans"/>
          <w:color w:val="2D2D2D"/>
        </w:rPr>
      </w:pPr>
      <w:r w:rsidRPr="002A3ECF">
        <w:rPr>
          <w:rFonts w:ascii="Noto Sans" w:hAnsi="Noto Sans" w:cs="Noto Sans"/>
          <w:i/>
          <w:iCs/>
          <w:color w:val="2D2D2D"/>
        </w:rPr>
        <w:t>Gallagher believes that all persons are entitled to equal employment opportunity and does not discriminate against nor favor any applicant because of race, color, religion, sex, age, veteran status, disability, national origin, or any other legally protected status. Equal employment opportunity will be extended in all aspects of the employer-employee relationship, including, but not limited to, recruitment, hiring, training, promotion, transfer, demotion, compensation, benefits, layoff, and termination. In addition, Gallagher will make reasonable accommodations to known physical or mental limitations of an otherwise qualified applicant with a disability, unless the accommodation would impose an undue hardship on the operation of our business</w:t>
      </w:r>
      <w:r w:rsidR="00627392">
        <w:rPr>
          <w:rFonts w:ascii="Noto Sans" w:hAnsi="Noto Sans" w:cs="Noto Sans"/>
          <w:i/>
          <w:iCs/>
          <w:color w:val="2D2D2D"/>
        </w:rPr>
        <w:t>.</w:t>
      </w:r>
    </w:p>
    <w:p w14:paraId="59195965" w14:textId="77777777" w:rsidR="008458FC" w:rsidRPr="00AE4504" w:rsidRDefault="008458FC" w:rsidP="008458FC">
      <w:pPr>
        <w:pStyle w:val="BlueBullet"/>
        <w:numPr>
          <w:ilvl w:val="0"/>
          <w:numId w:val="0"/>
        </w:numPr>
        <w:ind w:left="360" w:hanging="360"/>
        <w:rPr>
          <w:noProof w:val="0"/>
        </w:rPr>
      </w:pPr>
    </w:p>
    <w:p w14:paraId="0C8B4C94" w14:textId="7E7C4698" w:rsidR="00666B18" w:rsidRDefault="00666B18" w:rsidP="00882CC3">
      <w:pPr>
        <w:pStyle w:val="BodyText"/>
      </w:pPr>
    </w:p>
    <w:sectPr w:rsidR="00666B18" w:rsidSect="000340E7">
      <w:headerReference w:type="default" r:id="rId12"/>
      <w:footerReference w:type="default" r:id="rId13"/>
      <w:headerReference w:type="first" r:id="rId14"/>
      <w:footerReference w:type="first" r:id="rId15"/>
      <w:pgSz w:w="12240" w:h="15840" w:code="1"/>
      <w:pgMar w:top="2160" w:right="936" w:bottom="1440" w:left="936" w:header="36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F266" w14:textId="77777777" w:rsidR="001A450E" w:rsidRDefault="001A450E" w:rsidP="00374DAB">
      <w:r>
        <w:separator/>
      </w:r>
    </w:p>
  </w:endnote>
  <w:endnote w:type="continuationSeparator" w:id="0">
    <w:p w14:paraId="32BB516B" w14:textId="77777777" w:rsidR="001A450E" w:rsidRDefault="001A450E"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DB58" w14:textId="1C1CCB7B" w:rsidR="00D21A68" w:rsidRPr="006E3254" w:rsidRDefault="00907E19" w:rsidP="00D36924">
    <w:pPr>
      <w:pStyle w:val="Footer"/>
      <w:tabs>
        <w:tab w:val="clear" w:pos="4320"/>
        <w:tab w:val="clear" w:pos="8640"/>
        <w:tab w:val="right" w:pos="10350"/>
      </w:tabs>
      <w:rPr>
        <w:rFonts w:asciiTheme="minorHAnsi" w:hAnsiTheme="minorHAnsi" w:cstheme="minorHAnsi"/>
        <w:color w:val="FFFFFF" w:themeColor="background1"/>
        <w:sz w:val="12"/>
        <w:szCs w:val="12"/>
      </w:rPr>
    </w:pPr>
    <w:r w:rsidRPr="001B2CDF">
      <w:rPr>
        <w:rFonts w:asciiTheme="minorHAnsi" w:hAnsiTheme="minorHAnsi" w:cstheme="minorHAnsi"/>
        <w:noProof/>
        <w:color w:val="FFFFFF" w:themeColor="background1"/>
        <w:sz w:val="16"/>
        <w:szCs w:val="16"/>
      </w:rPr>
      <w:fldChar w:fldCharType="begin"/>
    </w:r>
    <w:r w:rsidRPr="001B2CDF">
      <w:rPr>
        <w:rFonts w:asciiTheme="minorHAnsi" w:hAnsiTheme="minorHAnsi" w:cstheme="minorHAnsi"/>
        <w:noProof/>
        <w:color w:val="FFFFFF" w:themeColor="background1"/>
        <w:sz w:val="16"/>
        <w:szCs w:val="16"/>
      </w:rPr>
      <w:instrText xml:space="preserve"> PAGE   \* MERGEFORMAT </w:instrText>
    </w:r>
    <w:r w:rsidRPr="001B2CDF">
      <w:rPr>
        <w:rFonts w:asciiTheme="minorHAnsi" w:hAnsiTheme="minorHAnsi" w:cstheme="minorHAnsi"/>
        <w:noProof/>
        <w:color w:val="FFFFFF" w:themeColor="background1"/>
        <w:sz w:val="16"/>
        <w:szCs w:val="16"/>
      </w:rPr>
      <w:fldChar w:fldCharType="separate"/>
    </w:r>
    <w:r w:rsidR="00666E46">
      <w:rPr>
        <w:rFonts w:asciiTheme="minorHAnsi" w:hAnsiTheme="minorHAnsi" w:cstheme="minorHAnsi"/>
        <w:noProof/>
        <w:color w:val="FFFFFF" w:themeColor="background1"/>
        <w:sz w:val="16"/>
        <w:szCs w:val="16"/>
      </w:rPr>
      <w:t>1</w:t>
    </w:r>
    <w:r w:rsidRPr="001B2CDF">
      <w:rPr>
        <w:rFonts w:asciiTheme="minorHAnsi" w:hAnsiTheme="minorHAnsi" w:cstheme="minorHAnsi"/>
        <w:noProof/>
        <w:color w:val="FFFFFF" w:themeColor="background1"/>
        <w:sz w:val="16"/>
        <w:szCs w:val="16"/>
      </w:rPr>
      <w:fldChar w:fldCharType="end"/>
    </w:r>
    <w:r>
      <w:rPr>
        <w:rFonts w:asciiTheme="minorHAnsi" w:hAnsiTheme="minorHAnsi" w:cstheme="minorHAnsi"/>
        <w:noProof/>
        <w:color w:val="FFFFFF" w:themeColor="background1"/>
        <w:sz w:val="12"/>
        <w:szCs w:val="12"/>
      </w:rPr>
      <w:tab/>
      <w:t xml:space="preserve"> </w:t>
    </w:r>
    <w:r w:rsidR="00731B62" w:rsidRPr="006E3254">
      <w:rPr>
        <w:rFonts w:asciiTheme="minorHAnsi" w:hAnsiTheme="minorHAnsi" w:cstheme="minorHAnsi"/>
        <w:noProof/>
        <w:color w:val="FFFFFF" w:themeColor="background1"/>
        <w:sz w:val="12"/>
        <w:szCs w:val="12"/>
      </w:rPr>
      <w:t xml:space="preserve">© </w:t>
    </w:r>
    <w:r w:rsidR="00731B62" w:rsidRPr="006E3254">
      <w:rPr>
        <w:rFonts w:asciiTheme="minorHAnsi" w:hAnsiTheme="minorHAnsi" w:cstheme="minorHAnsi"/>
        <w:noProof/>
        <w:color w:val="FFFFFF" w:themeColor="background1"/>
        <w:sz w:val="12"/>
        <w:szCs w:val="12"/>
      </w:rPr>
      <w:fldChar w:fldCharType="begin"/>
    </w:r>
    <w:r w:rsidR="00731B62" w:rsidRPr="006E3254">
      <w:rPr>
        <w:rFonts w:asciiTheme="minorHAnsi" w:hAnsiTheme="minorHAnsi" w:cstheme="minorHAnsi"/>
        <w:noProof/>
        <w:color w:val="FFFFFF" w:themeColor="background1"/>
        <w:sz w:val="12"/>
        <w:szCs w:val="12"/>
      </w:rPr>
      <w:instrText xml:space="preserve"> DATE \@ "yyyy" \* MERGEFORMAT </w:instrText>
    </w:r>
    <w:r w:rsidR="00731B62" w:rsidRPr="006E3254">
      <w:rPr>
        <w:rFonts w:asciiTheme="minorHAnsi" w:hAnsiTheme="minorHAnsi" w:cstheme="minorHAnsi"/>
        <w:noProof/>
        <w:color w:val="FFFFFF" w:themeColor="background1"/>
        <w:sz w:val="12"/>
        <w:szCs w:val="12"/>
      </w:rPr>
      <w:fldChar w:fldCharType="separate"/>
    </w:r>
    <w:r w:rsidR="00232347">
      <w:rPr>
        <w:rFonts w:asciiTheme="minorHAnsi" w:hAnsiTheme="minorHAnsi" w:cstheme="minorHAnsi"/>
        <w:noProof/>
        <w:color w:val="FFFFFF" w:themeColor="background1"/>
        <w:sz w:val="12"/>
        <w:szCs w:val="12"/>
      </w:rPr>
      <w:t>2024</w:t>
    </w:r>
    <w:r w:rsidR="00731B62" w:rsidRPr="006E3254">
      <w:rPr>
        <w:rFonts w:asciiTheme="minorHAnsi" w:hAnsiTheme="minorHAnsi" w:cstheme="minorHAnsi"/>
        <w:noProof/>
        <w:color w:val="FFFFFF" w:themeColor="background1"/>
        <w:sz w:val="12"/>
        <w:szCs w:val="12"/>
      </w:rPr>
      <w:fldChar w:fldCharType="end"/>
    </w:r>
    <w:r w:rsidR="005F77D3" w:rsidRPr="006E3254">
      <w:rPr>
        <w:rFonts w:asciiTheme="minorHAnsi" w:hAnsiTheme="minorHAnsi" w:cstheme="minorHAnsi"/>
        <w:noProof/>
        <w:color w:val="FFFFFF" w:themeColor="background1"/>
        <w:sz w:val="12"/>
        <w:szCs w:val="12"/>
      </w:rPr>
      <w:t xml:space="preserve"> Arthur J. Gallagher &amp; Co.</w:t>
    </w:r>
    <w:r w:rsidR="003C439B" w:rsidRPr="003C439B">
      <w:rPr>
        <w:noProof/>
        <w:color w:val="808080" w:themeColor="background1" w:themeShade="80"/>
        <w:sz w:val="16"/>
        <w:szCs w:val="16"/>
      </w:rPr>
      <w:t xml:space="preserve"> </w:t>
    </w:r>
    <w:r w:rsidR="003C439B">
      <w:rPr>
        <w:noProof/>
        <w:color w:val="808080" w:themeColor="background1" w:themeShade="80"/>
        <w:sz w:val="16"/>
        <w:szCs w:val="16"/>
      </w:rPr>
      <w:drawing>
        <wp:anchor distT="0" distB="0" distL="114300" distR="114300" simplePos="0" relativeHeight="251673600" behindDoc="1" locked="1" layoutInCell="1" allowOverlap="1" wp14:anchorId="50F13BB4" wp14:editId="7FB9AF2D">
          <wp:simplePos x="0" y="0"/>
          <wp:positionH relativeFrom="page">
            <wp:align>center</wp:align>
          </wp:positionH>
          <wp:positionV relativeFrom="page">
            <wp:align>bottom</wp:align>
          </wp:positionV>
          <wp:extent cx="7772400" cy="2249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8.5x11 - .65 margin_061419_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24942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986" w14:textId="454BBA4F" w:rsidR="00A730B9" w:rsidRPr="006E3254" w:rsidRDefault="003C439B" w:rsidP="00D36924">
    <w:pPr>
      <w:pStyle w:val="Footer"/>
      <w:tabs>
        <w:tab w:val="clear" w:pos="4320"/>
        <w:tab w:val="clear" w:pos="8640"/>
        <w:tab w:val="right" w:pos="10350"/>
      </w:tabs>
      <w:rPr>
        <w:rFonts w:asciiTheme="minorHAnsi" w:hAnsiTheme="minorHAnsi" w:cstheme="minorHAnsi"/>
        <w:color w:val="FFFFFF" w:themeColor="background1"/>
        <w:sz w:val="12"/>
        <w:szCs w:val="12"/>
      </w:rPr>
    </w:pPr>
    <w:r>
      <w:rPr>
        <w:noProof/>
        <w:color w:val="808080" w:themeColor="background1" w:themeShade="80"/>
        <w:sz w:val="16"/>
        <w:szCs w:val="16"/>
      </w:rPr>
      <w:drawing>
        <wp:anchor distT="0" distB="0" distL="114300" distR="114300" simplePos="0" relativeHeight="251671552" behindDoc="1" locked="1" layoutInCell="1" allowOverlap="1" wp14:anchorId="313DBD96" wp14:editId="3D6CDC3D">
          <wp:simplePos x="0" y="0"/>
          <wp:positionH relativeFrom="page">
            <wp:align>center</wp:align>
          </wp:positionH>
          <wp:positionV relativeFrom="page">
            <wp:align>bottom</wp:align>
          </wp:positionV>
          <wp:extent cx="7776600" cy="22494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8.5x11 - .65 margin_061419_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6600" cy="2249424"/>
                  </a:xfrm>
                  <a:prstGeom prst="rect">
                    <a:avLst/>
                  </a:prstGeom>
                </pic:spPr>
              </pic:pic>
            </a:graphicData>
          </a:graphic>
          <wp14:sizeRelH relativeFrom="page">
            <wp14:pctWidth>0</wp14:pctWidth>
          </wp14:sizeRelH>
          <wp14:sizeRelV relativeFrom="page">
            <wp14:pctHeight>0</wp14:pctHeight>
          </wp14:sizeRelV>
        </wp:anchor>
      </w:drawing>
    </w:r>
    <w:r w:rsidR="00907E19" w:rsidRPr="00907E19">
      <w:rPr>
        <w:rFonts w:asciiTheme="minorHAnsi" w:hAnsiTheme="minorHAnsi" w:cstheme="minorHAnsi"/>
        <w:noProof/>
        <w:color w:val="FFFFFF" w:themeColor="background1"/>
        <w:sz w:val="16"/>
        <w:szCs w:val="16"/>
      </w:rPr>
      <w:fldChar w:fldCharType="begin"/>
    </w:r>
    <w:r w:rsidR="00907E19" w:rsidRPr="00907E19">
      <w:rPr>
        <w:rFonts w:asciiTheme="minorHAnsi" w:hAnsiTheme="minorHAnsi" w:cstheme="minorHAnsi"/>
        <w:noProof/>
        <w:color w:val="FFFFFF" w:themeColor="background1"/>
        <w:sz w:val="16"/>
        <w:szCs w:val="16"/>
      </w:rPr>
      <w:instrText xml:space="preserve"> PAGE   \* MERGEFORMAT </w:instrText>
    </w:r>
    <w:r w:rsidR="00907E19" w:rsidRPr="00907E19">
      <w:rPr>
        <w:rFonts w:asciiTheme="minorHAnsi" w:hAnsiTheme="minorHAnsi" w:cstheme="minorHAnsi"/>
        <w:noProof/>
        <w:color w:val="FFFFFF" w:themeColor="background1"/>
        <w:sz w:val="16"/>
        <w:szCs w:val="16"/>
      </w:rPr>
      <w:fldChar w:fldCharType="separate"/>
    </w:r>
    <w:r w:rsidR="00261610">
      <w:rPr>
        <w:rFonts w:asciiTheme="minorHAnsi" w:hAnsiTheme="minorHAnsi" w:cstheme="minorHAnsi"/>
        <w:noProof/>
        <w:color w:val="FFFFFF" w:themeColor="background1"/>
        <w:sz w:val="16"/>
        <w:szCs w:val="16"/>
      </w:rPr>
      <w:t>1</w:t>
    </w:r>
    <w:r w:rsidR="00907E19" w:rsidRPr="00907E19">
      <w:rPr>
        <w:rFonts w:asciiTheme="minorHAnsi" w:hAnsiTheme="minorHAnsi" w:cstheme="minorHAnsi"/>
        <w:noProof/>
        <w:color w:val="FFFFFF" w:themeColor="background1"/>
        <w:sz w:val="16"/>
        <w:szCs w:val="16"/>
      </w:rPr>
      <w:fldChar w:fldCharType="end"/>
    </w:r>
    <w:r w:rsidR="00907E19">
      <w:rPr>
        <w:rFonts w:asciiTheme="minorHAnsi" w:hAnsiTheme="minorHAnsi" w:cstheme="minorHAnsi"/>
        <w:noProof/>
        <w:color w:val="FFFFFF" w:themeColor="background1"/>
        <w:sz w:val="12"/>
        <w:szCs w:val="12"/>
      </w:rPr>
      <w:tab/>
      <w:t xml:space="preserve"> </w:t>
    </w:r>
    <w:r w:rsidR="00731B62" w:rsidRPr="006E3254">
      <w:rPr>
        <w:rFonts w:asciiTheme="minorHAnsi" w:hAnsiTheme="minorHAnsi" w:cstheme="minorHAnsi"/>
        <w:noProof/>
        <w:color w:val="FFFFFF" w:themeColor="background1"/>
        <w:sz w:val="12"/>
        <w:szCs w:val="12"/>
      </w:rPr>
      <w:t xml:space="preserve">© </w:t>
    </w:r>
    <w:r w:rsidR="00731B62" w:rsidRPr="006E3254">
      <w:rPr>
        <w:rFonts w:asciiTheme="minorHAnsi" w:hAnsiTheme="minorHAnsi" w:cstheme="minorHAnsi"/>
        <w:noProof/>
        <w:color w:val="FFFFFF" w:themeColor="background1"/>
        <w:sz w:val="12"/>
        <w:szCs w:val="12"/>
      </w:rPr>
      <w:fldChar w:fldCharType="begin"/>
    </w:r>
    <w:r w:rsidR="00731B62" w:rsidRPr="006E3254">
      <w:rPr>
        <w:rFonts w:asciiTheme="minorHAnsi" w:hAnsiTheme="minorHAnsi" w:cstheme="minorHAnsi"/>
        <w:noProof/>
        <w:color w:val="FFFFFF" w:themeColor="background1"/>
        <w:sz w:val="12"/>
        <w:szCs w:val="12"/>
      </w:rPr>
      <w:instrText xml:space="preserve"> DATE \@ "yyyy" \* MERGEFORMAT </w:instrText>
    </w:r>
    <w:r w:rsidR="00731B62" w:rsidRPr="006E3254">
      <w:rPr>
        <w:rFonts w:asciiTheme="minorHAnsi" w:hAnsiTheme="minorHAnsi" w:cstheme="minorHAnsi"/>
        <w:noProof/>
        <w:color w:val="FFFFFF" w:themeColor="background1"/>
        <w:sz w:val="12"/>
        <w:szCs w:val="12"/>
      </w:rPr>
      <w:fldChar w:fldCharType="separate"/>
    </w:r>
    <w:r w:rsidR="00232347">
      <w:rPr>
        <w:rFonts w:asciiTheme="minorHAnsi" w:hAnsiTheme="minorHAnsi" w:cstheme="minorHAnsi"/>
        <w:noProof/>
        <w:color w:val="FFFFFF" w:themeColor="background1"/>
        <w:sz w:val="12"/>
        <w:szCs w:val="12"/>
      </w:rPr>
      <w:t>2024</w:t>
    </w:r>
    <w:r w:rsidR="00731B62" w:rsidRPr="006E3254">
      <w:rPr>
        <w:rFonts w:asciiTheme="minorHAnsi" w:hAnsiTheme="minorHAnsi" w:cstheme="minorHAnsi"/>
        <w:noProof/>
        <w:color w:val="FFFFFF" w:themeColor="background1"/>
        <w:sz w:val="12"/>
        <w:szCs w:val="12"/>
      </w:rPr>
      <w:fldChar w:fldCharType="end"/>
    </w:r>
    <w:r w:rsidR="00CC6466" w:rsidRPr="006E3254">
      <w:rPr>
        <w:rFonts w:asciiTheme="minorHAnsi" w:hAnsiTheme="minorHAnsi" w:cstheme="minorHAnsi"/>
        <w:noProof/>
        <w:color w:val="FFFFFF" w:themeColor="background1"/>
        <w:sz w:val="12"/>
        <w:szCs w:val="12"/>
      </w:rPr>
      <w:t xml:space="preserve"> Arthur J. Gallagher &amp; 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2F7C" w14:textId="77777777" w:rsidR="001A450E" w:rsidRDefault="001A450E" w:rsidP="00374DAB">
      <w:r>
        <w:separator/>
      </w:r>
    </w:p>
  </w:footnote>
  <w:footnote w:type="continuationSeparator" w:id="0">
    <w:p w14:paraId="78CD3E2B" w14:textId="77777777" w:rsidR="001A450E" w:rsidRDefault="001A450E"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023A" w14:textId="24F786F1" w:rsidR="00DE5A78" w:rsidRPr="001B2CDF" w:rsidRDefault="00666E46" w:rsidP="00883FA9">
    <w:pPr>
      <w:pStyle w:val="Header"/>
      <w:jc w:val="right"/>
      <w:rPr>
        <w:color w:val="808080" w:themeColor="background1" w:themeShade="80"/>
        <w:sz w:val="16"/>
        <w:szCs w:val="16"/>
      </w:rPr>
    </w:pPr>
    <w:r>
      <w:rPr>
        <w:noProof/>
        <w:color w:val="808080" w:themeColor="background1" w:themeShade="80"/>
        <w:sz w:val="16"/>
        <w:szCs w:val="16"/>
      </w:rPr>
      <w:drawing>
        <wp:anchor distT="0" distB="0" distL="114300" distR="114300" simplePos="0" relativeHeight="251675648" behindDoc="1" locked="1" layoutInCell="1" allowOverlap="1" wp14:anchorId="470087B8" wp14:editId="5A926084">
          <wp:simplePos x="0" y="0"/>
          <wp:positionH relativeFrom="page">
            <wp:posOffset>5257800</wp:posOffset>
          </wp:positionH>
          <wp:positionV relativeFrom="page">
            <wp:posOffset>228600</wp:posOffset>
          </wp:positionV>
          <wp:extent cx="2039112"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lagherRe_StackedLarge-3D.png"/>
                  <pic:cNvPicPr/>
                </pic:nvPicPr>
                <pic:blipFill>
                  <a:blip r:embed="rId1">
                    <a:extLst>
                      <a:ext uri="{28A0092B-C50C-407E-A947-70E740481C1C}">
                        <a14:useLocalDpi xmlns:a14="http://schemas.microsoft.com/office/drawing/2010/main" val="0"/>
                      </a:ext>
                    </a:extLst>
                  </a:blip>
                  <a:stretch>
                    <a:fillRect/>
                  </a:stretch>
                </pic:blipFill>
                <pic:spPr>
                  <a:xfrm>
                    <a:off x="0" y="0"/>
                    <a:ext cx="2039112" cy="10058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8A1" w14:textId="04C6B972" w:rsidR="00A730B9" w:rsidRPr="001B2CDF" w:rsidRDefault="00A730B9" w:rsidP="00954987">
    <w:pPr>
      <w:pStyle w:val="Header"/>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D3A7E"/>
    <w:multiLevelType w:val="multilevel"/>
    <w:tmpl w:val="F6EA2B66"/>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89B59F2"/>
    <w:multiLevelType w:val="multilevel"/>
    <w:tmpl w:val="3F2ABA98"/>
    <w:lvl w:ilvl="0">
      <w:start w:val="1"/>
      <w:numFmt w:val="bullet"/>
      <w:lvlText w:val=""/>
      <w:lvlJc w:val="left"/>
      <w:pPr>
        <w:tabs>
          <w:tab w:val="num" w:pos="360"/>
        </w:tabs>
        <w:ind w:left="360" w:hanging="360"/>
      </w:pPr>
      <w:rPr>
        <w:rFonts w:ascii="Symbol" w:hAnsi="Symbol" w:hint="default"/>
        <w:color w:val="6FACDE" w:themeColor="accent2"/>
        <w:sz w:val="20"/>
      </w:rPr>
    </w:lvl>
    <w:lvl w:ilvl="1">
      <w:start w:val="1"/>
      <w:numFmt w:val="bullet"/>
      <w:lvlText w:val=""/>
      <w:lvlJc w:val="left"/>
      <w:pPr>
        <w:tabs>
          <w:tab w:val="num" w:pos="720"/>
        </w:tabs>
        <w:ind w:left="720" w:hanging="360"/>
      </w:pPr>
      <w:rPr>
        <w:rFonts w:ascii="Wingdings" w:hAnsi="Wingdings" w:hint="default"/>
        <w:color w:val="auto"/>
        <w:sz w:val="22"/>
      </w:rPr>
    </w:lvl>
    <w:lvl w:ilvl="2">
      <w:start w:val="1"/>
      <w:numFmt w:val="bullet"/>
      <w:lvlText w:val=""/>
      <w:lvlJc w:val="left"/>
      <w:pPr>
        <w:tabs>
          <w:tab w:val="num" w:pos="1080"/>
        </w:tabs>
        <w:ind w:left="1080" w:hanging="360"/>
      </w:pPr>
      <w:rPr>
        <w:rFonts w:ascii="Wingdings" w:hAnsi="Wingdings" w:hint="default"/>
        <w:color w:val="auto"/>
        <w:sz w:val="22"/>
      </w:rPr>
    </w:lvl>
    <w:lvl w:ilvl="3">
      <w:start w:val="1"/>
      <w:numFmt w:val="bullet"/>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5D18DC"/>
    <w:multiLevelType w:val="multilevel"/>
    <w:tmpl w:val="536CD422"/>
    <w:lvl w:ilvl="0">
      <w:start w:val="1"/>
      <w:numFmt w:val="bullet"/>
      <w:pStyle w:val="Blue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pStyle w:val="BlueBullet3"/>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15:restartNumberingAfterBreak="0">
    <w:nsid w:val="49B26409"/>
    <w:multiLevelType w:val="multilevel"/>
    <w:tmpl w:val="68E0D138"/>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5A622840"/>
    <w:multiLevelType w:val="multilevel"/>
    <w:tmpl w:val="A028A33A"/>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D21B11"/>
    <w:multiLevelType w:val="multilevel"/>
    <w:tmpl w:val="64EE7A12"/>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pStyle w:val="BlueBullet5"/>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440303450">
    <w:abstractNumId w:val="1"/>
  </w:num>
  <w:num w:numId="2" w16cid:durableId="65147554">
    <w:abstractNumId w:val="5"/>
  </w:num>
  <w:num w:numId="3" w16cid:durableId="756823735">
    <w:abstractNumId w:val="5"/>
  </w:num>
  <w:num w:numId="4" w16cid:durableId="900554301">
    <w:abstractNumId w:val="5"/>
  </w:num>
  <w:num w:numId="5" w16cid:durableId="1079642446">
    <w:abstractNumId w:val="5"/>
  </w:num>
  <w:num w:numId="6" w16cid:durableId="810052517">
    <w:abstractNumId w:val="12"/>
  </w:num>
  <w:num w:numId="7" w16cid:durableId="1955013262">
    <w:abstractNumId w:val="10"/>
  </w:num>
  <w:num w:numId="8" w16cid:durableId="1202746583">
    <w:abstractNumId w:val="10"/>
  </w:num>
  <w:num w:numId="9" w16cid:durableId="1315059900">
    <w:abstractNumId w:val="10"/>
  </w:num>
  <w:num w:numId="10" w16cid:durableId="1889029419">
    <w:abstractNumId w:val="11"/>
  </w:num>
  <w:num w:numId="11" w16cid:durableId="1994865917">
    <w:abstractNumId w:val="8"/>
  </w:num>
  <w:num w:numId="12" w16cid:durableId="1604026215">
    <w:abstractNumId w:val="7"/>
  </w:num>
  <w:num w:numId="13" w16cid:durableId="801967621">
    <w:abstractNumId w:val="4"/>
  </w:num>
  <w:num w:numId="14" w16cid:durableId="538518566">
    <w:abstractNumId w:val="13"/>
  </w:num>
  <w:num w:numId="15" w16cid:durableId="617570454">
    <w:abstractNumId w:val="13"/>
  </w:num>
  <w:num w:numId="16" w16cid:durableId="968978951">
    <w:abstractNumId w:val="13"/>
  </w:num>
  <w:num w:numId="17" w16cid:durableId="266542111">
    <w:abstractNumId w:val="13"/>
  </w:num>
  <w:num w:numId="18" w16cid:durableId="911503074">
    <w:abstractNumId w:val="2"/>
  </w:num>
  <w:num w:numId="19" w16cid:durableId="1735468848">
    <w:abstractNumId w:val="9"/>
  </w:num>
  <w:num w:numId="20" w16cid:durableId="1445998197">
    <w:abstractNumId w:val="9"/>
  </w:num>
  <w:num w:numId="21" w16cid:durableId="1707369308">
    <w:abstractNumId w:val="9"/>
  </w:num>
  <w:num w:numId="22" w16cid:durableId="315570064">
    <w:abstractNumId w:val="9"/>
  </w:num>
  <w:num w:numId="23" w16cid:durableId="208304629">
    <w:abstractNumId w:val="16"/>
  </w:num>
  <w:num w:numId="24" w16cid:durableId="1952396783">
    <w:abstractNumId w:val="0"/>
  </w:num>
  <w:num w:numId="25" w16cid:durableId="857888374">
    <w:abstractNumId w:val="15"/>
  </w:num>
  <w:num w:numId="26" w16cid:durableId="992756135">
    <w:abstractNumId w:val="3"/>
  </w:num>
  <w:num w:numId="27" w16cid:durableId="1816407642">
    <w:abstractNumId w:val="14"/>
  </w:num>
  <w:num w:numId="28" w16cid:durableId="1482817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73729"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AB"/>
    <w:rsid w:val="00007EE7"/>
    <w:rsid w:val="000121AB"/>
    <w:rsid w:val="00014D46"/>
    <w:rsid w:val="0002553A"/>
    <w:rsid w:val="000340E7"/>
    <w:rsid w:val="00044533"/>
    <w:rsid w:val="00065F74"/>
    <w:rsid w:val="000746E7"/>
    <w:rsid w:val="00082A85"/>
    <w:rsid w:val="000D702F"/>
    <w:rsid w:val="000F0DFB"/>
    <w:rsid w:val="00100FD1"/>
    <w:rsid w:val="001019E5"/>
    <w:rsid w:val="00102935"/>
    <w:rsid w:val="0011513A"/>
    <w:rsid w:val="0013110B"/>
    <w:rsid w:val="00135E23"/>
    <w:rsid w:val="00151E53"/>
    <w:rsid w:val="00156BC0"/>
    <w:rsid w:val="001620D5"/>
    <w:rsid w:val="00181F7A"/>
    <w:rsid w:val="00184A39"/>
    <w:rsid w:val="00195DA4"/>
    <w:rsid w:val="001A450E"/>
    <w:rsid w:val="001B2CDF"/>
    <w:rsid w:val="001B317E"/>
    <w:rsid w:val="001B7B87"/>
    <w:rsid w:val="001C5153"/>
    <w:rsid w:val="001C5299"/>
    <w:rsid w:val="001D3955"/>
    <w:rsid w:val="001E120A"/>
    <w:rsid w:val="001E39BB"/>
    <w:rsid w:val="001E7659"/>
    <w:rsid w:val="001F5CD4"/>
    <w:rsid w:val="001F7D6D"/>
    <w:rsid w:val="00201AC9"/>
    <w:rsid w:val="002201FF"/>
    <w:rsid w:val="00224C9B"/>
    <w:rsid w:val="00232347"/>
    <w:rsid w:val="00237ED8"/>
    <w:rsid w:val="00261171"/>
    <w:rsid w:val="00261610"/>
    <w:rsid w:val="00263375"/>
    <w:rsid w:val="00264C39"/>
    <w:rsid w:val="00276590"/>
    <w:rsid w:val="002A3EE3"/>
    <w:rsid w:val="002B456C"/>
    <w:rsid w:val="002C29D3"/>
    <w:rsid w:val="002C4909"/>
    <w:rsid w:val="002C7783"/>
    <w:rsid w:val="002D359D"/>
    <w:rsid w:val="002E292B"/>
    <w:rsid w:val="002E77C1"/>
    <w:rsid w:val="00314ADC"/>
    <w:rsid w:val="00334FDF"/>
    <w:rsid w:val="00345DE1"/>
    <w:rsid w:val="003652C6"/>
    <w:rsid w:val="00374DAB"/>
    <w:rsid w:val="003A5986"/>
    <w:rsid w:val="003C439B"/>
    <w:rsid w:val="003C65F8"/>
    <w:rsid w:val="003D4096"/>
    <w:rsid w:val="003D4B13"/>
    <w:rsid w:val="003E319D"/>
    <w:rsid w:val="003F0A0D"/>
    <w:rsid w:val="0042324D"/>
    <w:rsid w:val="00437FD6"/>
    <w:rsid w:val="00443884"/>
    <w:rsid w:val="004536F5"/>
    <w:rsid w:val="00461618"/>
    <w:rsid w:val="00471CE5"/>
    <w:rsid w:val="004724F7"/>
    <w:rsid w:val="00472A01"/>
    <w:rsid w:val="00477CC5"/>
    <w:rsid w:val="004C6D1D"/>
    <w:rsid w:val="004E054D"/>
    <w:rsid w:val="004E6249"/>
    <w:rsid w:val="005149ED"/>
    <w:rsid w:val="0056653A"/>
    <w:rsid w:val="0057468A"/>
    <w:rsid w:val="00574A1A"/>
    <w:rsid w:val="005806CB"/>
    <w:rsid w:val="005A40FF"/>
    <w:rsid w:val="005B5B11"/>
    <w:rsid w:val="005C096A"/>
    <w:rsid w:val="005C391F"/>
    <w:rsid w:val="005C3CCC"/>
    <w:rsid w:val="005D4314"/>
    <w:rsid w:val="005E22A7"/>
    <w:rsid w:val="005F1B51"/>
    <w:rsid w:val="005F20AD"/>
    <w:rsid w:val="005F4104"/>
    <w:rsid w:val="005F5D63"/>
    <w:rsid w:val="005F77D3"/>
    <w:rsid w:val="0061175A"/>
    <w:rsid w:val="0061767B"/>
    <w:rsid w:val="00622056"/>
    <w:rsid w:val="00627392"/>
    <w:rsid w:val="00642C86"/>
    <w:rsid w:val="00665845"/>
    <w:rsid w:val="00666B18"/>
    <w:rsid w:val="00666E46"/>
    <w:rsid w:val="0067704C"/>
    <w:rsid w:val="006A2EFE"/>
    <w:rsid w:val="006C06D9"/>
    <w:rsid w:val="006C5C56"/>
    <w:rsid w:val="006C7F9E"/>
    <w:rsid w:val="006D456C"/>
    <w:rsid w:val="006E3254"/>
    <w:rsid w:val="006E3A14"/>
    <w:rsid w:val="006E69A4"/>
    <w:rsid w:val="00703737"/>
    <w:rsid w:val="007109CA"/>
    <w:rsid w:val="00715154"/>
    <w:rsid w:val="007237D9"/>
    <w:rsid w:val="00731B62"/>
    <w:rsid w:val="00747A76"/>
    <w:rsid w:val="00765A0D"/>
    <w:rsid w:val="00770E31"/>
    <w:rsid w:val="00783748"/>
    <w:rsid w:val="00787AE8"/>
    <w:rsid w:val="007B50F7"/>
    <w:rsid w:val="007B60BC"/>
    <w:rsid w:val="007E11DC"/>
    <w:rsid w:val="007E6FFC"/>
    <w:rsid w:val="0080189E"/>
    <w:rsid w:val="008019FC"/>
    <w:rsid w:val="00804397"/>
    <w:rsid w:val="00810296"/>
    <w:rsid w:val="00820336"/>
    <w:rsid w:val="008249AC"/>
    <w:rsid w:val="00834BF4"/>
    <w:rsid w:val="008361D0"/>
    <w:rsid w:val="008458FC"/>
    <w:rsid w:val="008651A8"/>
    <w:rsid w:val="00871018"/>
    <w:rsid w:val="00874EA3"/>
    <w:rsid w:val="00882CC3"/>
    <w:rsid w:val="00883FA9"/>
    <w:rsid w:val="00894D99"/>
    <w:rsid w:val="008B4B74"/>
    <w:rsid w:val="008C261C"/>
    <w:rsid w:val="008C7EAF"/>
    <w:rsid w:val="008D116D"/>
    <w:rsid w:val="008E2245"/>
    <w:rsid w:val="008E734E"/>
    <w:rsid w:val="008E7A4A"/>
    <w:rsid w:val="008F71F7"/>
    <w:rsid w:val="00900744"/>
    <w:rsid w:val="009052DD"/>
    <w:rsid w:val="00907E19"/>
    <w:rsid w:val="00924203"/>
    <w:rsid w:val="00925084"/>
    <w:rsid w:val="00954987"/>
    <w:rsid w:val="00960DAD"/>
    <w:rsid w:val="009640E3"/>
    <w:rsid w:val="00966E9F"/>
    <w:rsid w:val="0097128B"/>
    <w:rsid w:val="009858D2"/>
    <w:rsid w:val="009931A6"/>
    <w:rsid w:val="009C064C"/>
    <w:rsid w:val="009D3B8C"/>
    <w:rsid w:val="00A04BB2"/>
    <w:rsid w:val="00A3220A"/>
    <w:rsid w:val="00A3371D"/>
    <w:rsid w:val="00A33ADD"/>
    <w:rsid w:val="00A51547"/>
    <w:rsid w:val="00A622A5"/>
    <w:rsid w:val="00A70E15"/>
    <w:rsid w:val="00A730B9"/>
    <w:rsid w:val="00A74AF1"/>
    <w:rsid w:val="00A95F6F"/>
    <w:rsid w:val="00A97E9E"/>
    <w:rsid w:val="00AB01CE"/>
    <w:rsid w:val="00AB3E6C"/>
    <w:rsid w:val="00AC2DB4"/>
    <w:rsid w:val="00AD5F19"/>
    <w:rsid w:val="00AD75DC"/>
    <w:rsid w:val="00AE4504"/>
    <w:rsid w:val="00B05FAC"/>
    <w:rsid w:val="00B43C9B"/>
    <w:rsid w:val="00B440AB"/>
    <w:rsid w:val="00B50828"/>
    <w:rsid w:val="00B5302C"/>
    <w:rsid w:val="00B540EB"/>
    <w:rsid w:val="00B63402"/>
    <w:rsid w:val="00B84F75"/>
    <w:rsid w:val="00BB3CE8"/>
    <w:rsid w:val="00BC0C91"/>
    <w:rsid w:val="00BD0012"/>
    <w:rsid w:val="00BD791F"/>
    <w:rsid w:val="00BF45C9"/>
    <w:rsid w:val="00C0105A"/>
    <w:rsid w:val="00C01563"/>
    <w:rsid w:val="00C15C3B"/>
    <w:rsid w:val="00C230A1"/>
    <w:rsid w:val="00C313C8"/>
    <w:rsid w:val="00C33463"/>
    <w:rsid w:val="00C41391"/>
    <w:rsid w:val="00C64761"/>
    <w:rsid w:val="00CC306B"/>
    <w:rsid w:val="00CC6466"/>
    <w:rsid w:val="00CD2A92"/>
    <w:rsid w:val="00CF4C15"/>
    <w:rsid w:val="00D011F2"/>
    <w:rsid w:val="00D106B6"/>
    <w:rsid w:val="00D21A68"/>
    <w:rsid w:val="00D2685A"/>
    <w:rsid w:val="00D36924"/>
    <w:rsid w:val="00D44B42"/>
    <w:rsid w:val="00D473FF"/>
    <w:rsid w:val="00D60B45"/>
    <w:rsid w:val="00D76E66"/>
    <w:rsid w:val="00D9238A"/>
    <w:rsid w:val="00DC2B1A"/>
    <w:rsid w:val="00DD05A3"/>
    <w:rsid w:val="00DD7F39"/>
    <w:rsid w:val="00DE17BA"/>
    <w:rsid w:val="00DE4882"/>
    <w:rsid w:val="00DE5A78"/>
    <w:rsid w:val="00DE799A"/>
    <w:rsid w:val="00E17366"/>
    <w:rsid w:val="00E50EFE"/>
    <w:rsid w:val="00E66001"/>
    <w:rsid w:val="00E838D4"/>
    <w:rsid w:val="00E94A3A"/>
    <w:rsid w:val="00EA5339"/>
    <w:rsid w:val="00EA728F"/>
    <w:rsid w:val="00EB2C57"/>
    <w:rsid w:val="00EB3A13"/>
    <w:rsid w:val="00ED3F80"/>
    <w:rsid w:val="00EE78B0"/>
    <w:rsid w:val="00EF1DA2"/>
    <w:rsid w:val="00EF4638"/>
    <w:rsid w:val="00F30571"/>
    <w:rsid w:val="00F376A0"/>
    <w:rsid w:val="00F377F1"/>
    <w:rsid w:val="00F41E0B"/>
    <w:rsid w:val="00F65E38"/>
    <w:rsid w:val="00F73688"/>
    <w:rsid w:val="00F74439"/>
    <w:rsid w:val="00F74F2D"/>
    <w:rsid w:val="00FC185A"/>
    <w:rsid w:val="00FD060A"/>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4:defaultImageDpi w14:val="330"/>
  <w15:docId w15:val="{D7355236-5B02-4F9D-B013-A4FF756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F30571"/>
    <w:pPr>
      <w:spacing w:after="240" w:line="276" w:lineRule="auto"/>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rsid w:val="00E50EFE"/>
    <w:pPr>
      <w:tabs>
        <w:tab w:val="center" w:pos="4320"/>
        <w:tab w:val="right" w:pos="8640"/>
      </w:tabs>
    </w:pPr>
  </w:style>
  <w:style w:type="character" w:customStyle="1" w:styleId="FooterChar">
    <w:name w:val="Footer Char"/>
    <w:basedOn w:val="DefaultParagraphFont"/>
    <w:link w:val="Footer"/>
    <w:rsid w:val="00374DAB"/>
    <w:rPr>
      <w:rFonts w:ascii="Arial" w:eastAsia="Times New Roman" w:hAnsi="Arial"/>
      <w:szCs w:val="24"/>
    </w:rPr>
  </w:style>
  <w:style w:type="paragraph" w:styleId="BodyText">
    <w:name w:val="Body Text"/>
    <w:basedOn w:val="Normal"/>
    <w:link w:val="BodyTextChar"/>
    <w:qFormat/>
    <w:rsid w:val="00D011F2"/>
    <w:pPr>
      <w:spacing w:after="180" w:line="276" w:lineRule="auto"/>
    </w:pPr>
    <w:rPr>
      <w:color w:val="58595B"/>
      <w:sz w:val="20"/>
    </w:rPr>
  </w:style>
  <w:style w:type="character" w:customStyle="1" w:styleId="BodyTextChar">
    <w:name w:val="Body Text Char"/>
    <w:basedOn w:val="DefaultParagraphFont"/>
    <w:link w:val="BodyText"/>
    <w:rsid w:val="00D011F2"/>
    <w:rPr>
      <w:rFonts w:ascii="Arial" w:eastAsia="Times New Roman" w:hAnsi="Arial"/>
      <w:color w:val="58595B"/>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spacing w:after="60"/>
    </w:pPr>
    <w:rPr>
      <w:noProof/>
    </w:rPr>
  </w:style>
  <w:style w:type="paragraph" w:customStyle="1" w:styleId="BlackBullet2">
    <w:name w:val="Black Bullet 2"/>
    <w:basedOn w:val="BodyText"/>
    <w:rsid w:val="00E50EFE"/>
    <w:p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8E7A4A"/>
    <w:pPr>
      <w:numPr>
        <w:numId w:val="28"/>
      </w:numPr>
    </w:pPr>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D011F2"/>
    <w:rPr>
      <w:rFonts w:cs="Arial"/>
      <w:color w:val="58595B"/>
      <w:szCs w:val="20"/>
    </w:rPr>
  </w:style>
  <w:style w:type="paragraph" w:customStyle="1" w:styleId="BlueBullet3">
    <w:name w:val="Blue Bullet 3"/>
    <w:basedOn w:val="Normal"/>
    <w:rsid w:val="00D011F2"/>
    <w:pPr>
      <w:numPr>
        <w:ilvl w:val="2"/>
        <w:numId w:val="28"/>
      </w:numPr>
    </w:pPr>
    <w:rPr>
      <w:rFonts w:cs="Arial"/>
      <w:color w:val="58595B"/>
      <w:szCs w:val="20"/>
    </w:rPr>
  </w:style>
  <w:style w:type="paragraph" w:customStyle="1" w:styleId="BlueBullet4">
    <w:name w:val="Blue Bullet 4"/>
    <w:basedOn w:val="Normal"/>
    <w:rsid w:val="00D011F2"/>
    <w:pPr>
      <w:numPr>
        <w:ilvl w:val="3"/>
        <w:numId w:val="9"/>
      </w:numPr>
    </w:pPr>
    <w:rPr>
      <w:color w:val="58595B"/>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F30571"/>
    <w:rPr>
      <w:rFonts w:ascii="Arial" w:eastAsia="Times New Roman" w:hAnsi="Arial"/>
      <w:bCs/>
      <w:iCs/>
      <w:noProof/>
      <w:color w:val="00263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D011F2"/>
    <w:pPr>
      <w:spacing w:before="20" w:after="20" w:line="276" w:lineRule="auto"/>
    </w:pPr>
    <w:rPr>
      <w:color w:val="58595B"/>
      <w:sz w:val="20"/>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F30571"/>
    <w:pPr>
      <w:keepNext/>
      <w:spacing w:before="180" w:after="60" w:line="276" w:lineRule="auto"/>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single" w:sz="8" w:space="0" w:color="C6D52F" w:themeColor="accent3" w:themeTint="BF"/>
      </w:tblBorders>
    </w:tblPr>
    <w:tblStylePr w:type="firstRow">
      <w:pPr>
        <w:spacing w:before="0" w:after="0" w:line="240" w:lineRule="auto"/>
      </w:pPr>
      <w:rPr>
        <w:b/>
        <w:bCs/>
        <w:color w:val="FFFFFF" w:themeColor="background1"/>
      </w:rPr>
      <w:tblPr/>
      <w:tcPr>
        <w:tc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shd w:val="clear" w:color="auto" w:fill="8A941E" w:themeFill="accent3"/>
      </w:tcPr>
    </w:tblStylePr>
    <w:tblStylePr w:type="lastRow">
      <w:pPr>
        <w:spacing w:before="0" w:after="0" w:line="240" w:lineRule="auto"/>
      </w:pPr>
      <w:rPr>
        <w:b/>
        <w:bCs/>
      </w:rPr>
      <w:tblPr/>
      <w:tcPr>
        <w:tcBorders>
          <w:top w:val="double" w:sz="6"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1BA" w:themeFill="accent3" w:themeFillTint="3F"/>
      </w:tcPr>
    </w:tblStylePr>
    <w:tblStylePr w:type="band1Horz">
      <w:tblPr/>
      <w:tcPr>
        <w:tcBorders>
          <w:insideH w:val="nil"/>
          <w:insideV w:val="nil"/>
        </w:tcBorders>
        <w:shd w:val="clear" w:color="auto" w:fill="ECF1BA"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8A941E" w:themeColor="accent3"/>
        <w:left w:val="single" w:sz="8" w:space="0" w:color="8A941E" w:themeColor="accent3"/>
        <w:bottom w:val="single" w:sz="8" w:space="0" w:color="8A941E" w:themeColor="accent3"/>
        <w:right w:val="single" w:sz="8" w:space="0" w:color="8A941E" w:themeColor="accent3"/>
      </w:tblBorders>
    </w:tblPr>
    <w:tblStylePr w:type="firstRow">
      <w:pPr>
        <w:spacing w:before="0" w:after="0" w:line="240" w:lineRule="auto"/>
      </w:pPr>
      <w:rPr>
        <w:b/>
        <w:bCs/>
        <w:color w:val="FFFFFF" w:themeColor="background1"/>
      </w:rPr>
      <w:tblPr/>
      <w:tcPr>
        <w:shd w:val="clear" w:color="auto" w:fill="8A941E" w:themeFill="accent3"/>
      </w:tcPr>
    </w:tblStylePr>
    <w:tblStylePr w:type="lastRow">
      <w:pPr>
        <w:spacing w:before="0" w:after="0" w:line="240" w:lineRule="auto"/>
      </w:pPr>
      <w:rPr>
        <w:b/>
        <w:bCs/>
      </w:rPr>
      <w:tblPr/>
      <w:tcPr>
        <w:tcBorders>
          <w:top w:val="double" w:sz="6" w:space="0" w:color="8A941E" w:themeColor="accent3"/>
          <w:left w:val="single" w:sz="8" w:space="0" w:color="8A941E" w:themeColor="accent3"/>
          <w:bottom w:val="single" w:sz="8" w:space="0" w:color="8A941E" w:themeColor="accent3"/>
          <w:right w:val="single" w:sz="8" w:space="0" w:color="8A941E" w:themeColor="accent3"/>
        </w:tcBorders>
      </w:tcPr>
    </w:tblStylePr>
    <w:tblStylePr w:type="firstCol">
      <w:rPr>
        <w:b/>
        <w:bCs/>
      </w:rPr>
    </w:tblStylePr>
    <w:tblStylePr w:type="lastCol">
      <w:rPr>
        <w:b/>
        <w:bCs/>
      </w:rPr>
    </w:tblStylePr>
    <w:tblStylePr w:type="band1Vert">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tblStylePr w:type="band1Horz">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styleId="GridTable4-Accent2">
    <w:name w:val="Grid Table 4 Accent 2"/>
    <w:basedOn w:val="TableNormal"/>
    <w:uiPriority w:val="49"/>
    <w:rsid w:val="007E6FF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insideV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BlueBullet5">
    <w:name w:val="Blue Bullet 5"/>
    <w:basedOn w:val="Normal"/>
    <w:rsid w:val="00D011F2"/>
    <w:pPr>
      <w:numPr>
        <w:ilvl w:val="4"/>
        <w:numId w:val="25"/>
      </w:numPr>
      <w:spacing w:after="60" w:line="276" w:lineRule="auto"/>
    </w:pPr>
    <w:rPr>
      <w:noProof/>
      <w:color w:val="58595B"/>
      <w:sz w:val="20"/>
    </w:rPr>
  </w:style>
  <w:style w:type="paragraph" w:styleId="ListParagraph">
    <w:name w:val="List Paragraph"/>
    <w:basedOn w:val="Normal"/>
    <w:uiPriority w:val="34"/>
    <w:rsid w:val="008E7A4A"/>
    <w:pPr>
      <w:ind w:left="720"/>
      <w:contextualSpacing/>
    </w:pPr>
  </w:style>
  <w:style w:type="paragraph" w:styleId="Subtitle">
    <w:name w:val="Subtitle"/>
    <w:basedOn w:val="Normal"/>
    <w:next w:val="Normal"/>
    <w:link w:val="SubtitleChar"/>
    <w:uiPriority w:val="11"/>
    <w:qFormat/>
    <w:rsid w:val="00F30571"/>
    <w:pPr>
      <w:numPr>
        <w:ilvl w:val="1"/>
      </w:numPr>
      <w:spacing w:before="180" w:after="60" w:line="276" w:lineRule="auto"/>
    </w:pPr>
    <w:rPr>
      <w:rFonts w:asciiTheme="minorHAnsi" w:eastAsiaTheme="minorEastAsia" w:hAnsiTheme="minorHAnsi" w:cstheme="minorBidi"/>
      <w:b/>
      <w:sz w:val="22"/>
      <w:szCs w:val="22"/>
    </w:rPr>
  </w:style>
  <w:style w:type="character" w:customStyle="1" w:styleId="SubtitleChar">
    <w:name w:val="Subtitle Char"/>
    <w:basedOn w:val="DefaultParagraphFont"/>
    <w:link w:val="Subtitle"/>
    <w:uiPriority w:val="11"/>
    <w:rsid w:val="00F30571"/>
    <w:rPr>
      <w:rFonts w:asciiTheme="minorHAnsi" w:eastAsiaTheme="minorEastAsia"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0075BC"/>
      </a:lt2>
      <a:accent1>
        <a:srgbClr val="00263E"/>
      </a:accent1>
      <a:accent2>
        <a:srgbClr val="6FACDE"/>
      </a:accent2>
      <a:accent3>
        <a:srgbClr val="8A941E"/>
      </a:accent3>
      <a:accent4>
        <a:srgbClr val="E07E3C"/>
      </a:accent4>
      <a:accent5>
        <a:srgbClr val="F0B323"/>
      </a:accent5>
      <a:accent6>
        <a:srgbClr val="C6AA76"/>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3.xml><?xml version="1.0" encoding="utf-8"?>
<ds:datastoreItem xmlns:ds="http://schemas.openxmlformats.org/officeDocument/2006/customXml" ds:itemID="{B1F72516-3B74-47DB-AD44-47B452A2400F}">
  <ds:schemaRefs>
    <ds:schemaRef ds:uri="51f58718-2655-4806-9278-5aaf2ff3751b"/>
    <ds:schemaRef ds:uri="2cc20d44-25e2-42c8-b7c6-0a08ac232e09"/>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0e770d08-728b-4a77-bcf7-6637b6aaabd8"/>
    <ds:schemaRef ds:uri="http://www.w3.org/XML/1998/namespace"/>
  </ds:schemaRefs>
</ds:datastoreItem>
</file>

<file path=customXml/itemProps4.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5.xml><?xml version="1.0" encoding="utf-8"?>
<ds:datastoreItem xmlns:ds="http://schemas.openxmlformats.org/officeDocument/2006/customXml" ds:itemID="{CF05CA81-3451-406F-9091-5F4D6AAA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Dombrowski</dc:creator>
  <cp:lastModifiedBy>Tim Garcia</cp:lastModifiedBy>
  <cp:revision>69</cp:revision>
  <cp:lastPrinted>2019-04-26T12:23:00Z</cp:lastPrinted>
  <dcterms:created xsi:type="dcterms:W3CDTF">2024-02-12T19:33:00Z</dcterms:created>
  <dcterms:modified xsi:type="dcterms:W3CDTF">2024-02-12T20:29:00Z</dcterms:modified>
  <cp:category>Generic - 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